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290" w:rsidRPr="00F769D1" w:rsidRDefault="00B83290" w:rsidP="00632B66">
      <w:pPr>
        <w:pStyle w:val="Titlu1"/>
        <w:spacing w:before="120" w:after="120" w:line="240" w:lineRule="auto"/>
        <w:jc w:val="right"/>
        <w:rPr>
          <w:rFonts w:ascii="Trebuchet MS" w:hAnsi="Trebuchet MS"/>
          <w:b/>
          <w:color w:val="auto"/>
          <w:sz w:val="22"/>
          <w:szCs w:val="22"/>
        </w:rPr>
      </w:pPr>
      <w:bookmarkStart w:id="0" w:name="_Toc445828310"/>
      <w:r w:rsidRPr="00F769D1">
        <w:rPr>
          <w:rFonts w:ascii="Trebuchet MS" w:hAnsi="Trebuchet MS"/>
          <w:b/>
          <w:color w:val="auto"/>
          <w:sz w:val="22"/>
          <w:szCs w:val="22"/>
        </w:rPr>
        <w:t xml:space="preserve">Anexa </w:t>
      </w:r>
      <w:r w:rsidR="00531C31" w:rsidRPr="00F769D1">
        <w:rPr>
          <w:rFonts w:ascii="Trebuchet MS" w:hAnsi="Trebuchet MS"/>
          <w:b/>
          <w:color w:val="auto"/>
          <w:sz w:val="22"/>
          <w:szCs w:val="22"/>
        </w:rPr>
        <w:t>4</w:t>
      </w:r>
      <w:r w:rsidRPr="00F769D1">
        <w:rPr>
          <w:rFonts w:ascii="Trebuchet MS" w:hAnsi="Trebuchet MS"/>
          <w:b/>
          <w:color w:val="auto"/>
          <w:sz w:val="22"/>
          <w:szCs w:val="22"/>
        </w:rPr>
        <w:t xml:space="preserve">:  </w:t>
      </w:r>
      <w:bookmarkEnd w:id="0"/>
      <w:r w:rsidR="00E634F7" w:rsidRPr="00F769D1">
        <w:rPr>
          <w:rFonts w:ascii="Trebuchet MS" w:hAnsi="Trebuchet MS"/>
          <w:b/>
          <w:color w:val="auto"/>
          <w:sz w:val="22"/>
          <w:szCs w:val="22"/>
        </w:rPr>
        <w:t>Cadrul</w:t>
      </w:r>
      <w:r w:rsidR="00FA0F3A" w:rsidRPr="00F769D1">
        <w:rPr>
          <w:rFonts w:ascii="Trebuchet MS" w:hAnsi="Trebuchet MS"/>
          <w:b/>
          <w:color w:val="auto"/>
          <w:sz w:val="22"/>
          <w:szCs w:val="22"/>
        </w:rPr>
        <w:t xml:space="preserve"> strategic și cadrul</w:t>
      </w:r>
      <w:r w:rsidR="00E634F7" w:rsidRPr="00F769D1">
        <w:rPr>
          <w:rFonts w:ascii="Trebuchet MS" w:hAnsi="Trebuchet MS"/>
          <w:b/>
          <w:color w:val="auto"/>
          <w:sz w:val="22"/>
          <w:szCs w:val="22"/>
        </w:rPr>
        <w:t xml:space="preserve"> legal aplicabil</w:t>
      </w:r>
    </w:p>
    <w:p w:rsidR="006E5F18" w:rsidRPr="00F769D1" w:rsidRDefault="006E5F18" w:rsidP="00FA0F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</w:rPr>
      </w:pPr>
      <w:bookmarkStart w:id="1" w:name="_Toc447534442"/>
    </w:p>
    <w:p w:rsidR="00FA0F3A" w:rsidRPr="00F769D1" w:rsidRDefault="00FA0F3A" w:rsidP="00FA0F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eastAsia="SimSun" w:hAnsi="Trebuchet MS" w:cs="Times New Roman"/>
          <w:b/>
        </w:rPr>
      </w:pPr>
      <w:r w:rsidRPr="00F769D1">
        <w:rPr>
          <w:rFonts w:ascii="Trebuchet MS" w:hAnsi="Trebuchet MS"/>
          <w:b/>
        </w:rPr>
        <w:t>Cadrul strategic relevant</w:t>
      </w:r>
      <w:bookmarkEnd w:id="1"/>
    </w:p>
    <w:p w:rsidR="00FA0F3A" w:rsidRPr="00F769D1" w:rsidRDefault="00FA0F3A" w:rsidP="00FA0F3A">
      <w:pPr>
        <w:spacing w:before="120" w:after="120" w:line="240" w:lineRule="auto"/>
        <w:jc w:val="both"/>
        <w:rPr>
          <w:rFonts w:ascii="Trebuchet MS" w:eastAsia="Calibri" w:hAnsi="Trebuchet MS" w:cs="Times New Roman"/>
        </w:rPr>
      </w:pPr>
      <w:r w:rsidRPr="00F769D1">
        <w:rPr>
          <w:rFonts w:ascii="Trebuchet MS" w:eastAsia="Calibri" w:hAnsi="Trebuchet MS" w:cs="Times New Roman"/>
        </w:rPr>
        <w:t>Cererea de propuneri de proiecte este lansată în baza prevederilor Regulamentului (UE) nr. 1303/2013 de stabilire a unor dispoziții comune și ale Regulamentului (UE) nr.1304/2013 privind FSE, precum și în acord cu documentele programatice aplicabile și strategiile asumate la nivel național:</w:t>
      </w:r>
    </w:p>
    <w:p w:rsidR="00FA0F3A" w:rsidRPr="00F769D1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</w:rPr>
      </w:pPr>
      <w:r w:rsidRPr="00F769D1">
        <w:rPr>
          <w:rFonts w:ascii="Trebuchet MS" w:eastAsia="Calibri" w:hAnsi="Trebuchet MS" w:cs="Times New Roman"/>
          <w:b/>
        </w:rPr>
        <w:t>Acordul de Parteneriat (AP) 2014-2020</w:t>
      </w:r>
    </w:p>
    <w:p w:rsidR="00FA0F3A" w:rsidRPr="00F769D1" w:rsidRDefault="0031531A" w:rsidP="00FA0F3A">
      <w:pPr>
        <w:spacing w:before="120" w:after="120" w:line="240" w:lineRule="auto"/>
        <w:jc w:val="both"/>
        <w:rPr>
          <w:rFonts w:ascii="Trebuchet MS" w:eastAsia="Calibri" w:hAnsi="Trebuchet MS" w:cs="Times New Roman"/>
        </w:rPr>
      </w:pPr>
      <w:hyperlink r:id="rId8" w:history="1">
        <w:r w:rsidR="00FA0F3A" w:rsidRPr="00F769D1">
          <w:rPr>
            <w:rFonts w:ascii="Trebuchet MS" w:eastAsia="Calibri" w:hAnsi="Trebuchet MS" w:cs="Times New Roman"/>
          </w:rPr>
          <w:t>http://www.fonduri-ue.ro/res/filepicker_users/cd25a597fd-62/2014-2020/acord-parteneriat/Acord_de_Parteneriat_2014-2020_RO_2014RO16M8PA001_1_2_ro.pdf</w:t>
        </w:r>
      </w:hyperlink>
    </w:p>
    <w:p w:rsidR="00FA0F3A" w:rsidRPr="00F769D1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</w:rPr>
      </w:pPr>
      <w:r w:rsidRPr="00F769D1">
        <w:rPr>
          <w:rFonts w:ascii="Trebuchet MS" w:eastAsia="Calibri" w:hAnsi="Trebuchet MS" w:cs="Times New Roman"/>
          <w:b/>
        </w:rPr>
        <w:t>Recomandările Specifice de Țară (RST) 2014 şi 2015</w:t>
      </w:r>
    </w:p>
    <w:p w:rsidR="00FA0F3A" w:rsidRPr="00F769D1" w:rsidRDefault="00FA0F3A" w:rsidP="00FA0F3A">
      <w:pPr>
        <w:spacing w:before="120" w:after="120" w:line="240" w:lineRule="auto"/>
        <w:jc w:val="both"/>
        <w:rPr>
          <w:rFonts w:ascii="Trebuchet MS" w:eastAsia="Calibri" w:hAnsi="Trebuchet MS" w:cs="Times New Roman"/>
        </w:rPr>
      </w:pPr>
      <w:r w:rsidRPr="00F769D1">
        <w:rPr>
          <w:rFonts w:ascii="Trebuchet MS" w:eastAsia="Calibri" w:hAnsi="Trebuchet MS" w:cs="Times New Roman"/>
        </w:rPr>
        <w:t>http://ec.europa.eu/europe2020/pdf/csr2014/csr2014_council_romenia_ro.pdf</w:t>
      </w:r>
    </w:p>
    <w:p w:rsidR="00FA0F3A" w:rsidRPr="00F769D1" w:rsidRDefault="00FA0F3A" w:rsidP="00FA0F3A">
      <w:pPr>
        <w:spacing w:before="120" w:after="120" w:line="240" w:lineRule="auto"/>
        <w:jc w:val="both"/>
        <w:rPr>
          <w:rFonts w:ascii="Trebuchet MS" w:eastAsia="Calibri" w:hAnsi="Trebuchet MS" w:cs="Times New Roman"/>
        </w:rPr>
      </w:pPr>
      <w:r w:rsidRPr="00F769D1">
        <w:rPr>
          <w:rFonts w:ascii="Trebuchet MS" w:eastAsia="Calibri" w:hAnsi="Trebuchet MS" w:cs="Times New Roman"/>
        </w:rPr>
        <w:t>http://ec.europa.eu/europe2020/pdf/csr2015/csr2015_romania_ro.pdf</w:t>
      </w:r>
    </w:p>
    <w:p w:rsidR="00FA0F3A" w:rsidRPr="00F769D1" w:rsidRDefault="0031531A" w:rsidP="00FA0F3A">
      <w:pPr>
        <w:spacing w:before="120" w:after="120" w:line="240" w:lineRule="auto"/>
        <w:jc w:val="both"/>
        <w:rPr>
          <w:rFonts w:ascii="Trebuchet MS" w:eastAsia="Calibri" w:hAnsi="Trebuchet MS" w:cs="Times New Roman"/>
        </w:rPr>
      </w:pPr>
      <w:hyperlink r:id="rId9" w:history="1">
        <w:r w:rsidR="00FA0F3A" w:rsidRPr="00F769D1">
          <w:rPr>
            <w:rFonts w:ascii="Trebuchet MS" w:eastAsia="Calibri" w:hAnsi="Trebuchet MS" w:cs="Times New Roman"/>
          </w:rPr>
          <w:t>http://ec.europa.eu/europe2020/making-it-happen/country-specific-recommendations/index_en.htm</w:t>
        </w:r>
      </w:hyperlink>
    </w:p>
    <w:p w:rsidR="00FA0F3A" w:rsidRPr="00F769D1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</w:rPr>
      </w:pPr>
      <w:r w:rsidRPr="00F769D1">
        <w:rPr>
          <w:rFonts w:ascii="Trebuchet MS" w:eastAsia="Calibri" w:hAnsi="Trebuchet MS" w:cs="Times New Roman"/>
          <w:b/>
        </w:rPr>
        <w:t>Programul Național de Reformă (PNR)</w:t>
      </w:r>
    </w:p>
    <w:p w:rsidR="00FA0F3A" w:rsidRPr="00F769D1" w:rsidRDefault="0031531A" w:rsidP="00FA0F3A">
      <w:pPr>
        <w:spacing w:before="120" w:after="120" w:line="240" w:lineRule="auto"/>
        <w:jc w:val="both"/>
        <w:rPr>
          <w:rFonts w:ascii="Trebuchet MS" w:eastAsia="Calibri" w:hAnsi="Trebuchet MS" w:cs="Times New Roman"/>
        </w:rPr>
      </w:pPr>
      <w:hyperlink r:id="rId10" w:history="1">
        <w:r w:rsidR="00FA0F3A" w:rsidRPr="00F769D1">
          <w:rPr>
            <w:rFonts w:ascii="Trebuchet MS" w:eastAsia="Calibri" w:hAnsi="Trebuchet MS" w:cs="Times New Roman"/>
          </w:rPr>
          <w:t>http://ec.europa.eu/europe2020/pdf/csr2014/nrp2014_romania_ro.pdf</w:t>
        </w:r>
      </w:hyperlink>
    </w:p>
    <w:p w:rsidR="00FA0F3A" w:rsidRPr="00F769D1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</w:rPr>
      </w:pPr>
      <w:r w:rsidRPr="00F769D1">
        <w:rPr>
          <w:rFonts w:ascii="Trebuchet MS" w:eastAsia="Calibri" w:hAnsi="Trebuchet MS" w:cs="Times New Roman"/>
          <w:b/>
        </w:rPr>
        <w:t xml:space="preserve">Strategia Guvernului României de Incluziune a Cetățenilor Români aparținând Minorității Romilor 2012-2020 </w:t>
      </w:r>
    </w:p>
    <w:p w:rsidR="00FA0F3A" w:rsidRPr="00F769D1" w:rsidRDefault="00FA0F3A" w:rsidP="00FA0F3A">
      <w:pPr>
        <w:widowControl w:val="0"/>
        <w:spacing w:before="120" w:after="120" w:line="240" w:lineRule="auto"/>
        <w:ind w:right="95"/>
        <w:jc w:val="both"/>
        <w:rPr>
          <w:rFonts w:ascii="Trebuchet MS" w:eastAsia="Calibri" w:hAnsi="Trebuchet MS" w:cs="Times New Roman"/>
        </w:rPr>
      </w:pPr>
      <w:r w:rsidRPr="00F769D1">
        <w:rPr>
          <w:rFonts w:ascii="Trebuchet MS" w:eastAsia="Calibri" w:hAnsi="Trebuchet MS" w:cs="Times New Roman"/>
        </w:rPr>
        <w:t>http://www.anr.gov.ro/docs/Site2014/Strategie/Strategie_final_18-11-2014.pdf</w:t>
      </w:r>
    </w:p>
    <w:p w:rsidR="00FA0F3A" w:rsidRPr="00F769D1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</w:rPr>
      </w:pPr>
      <w:r w:rsidRPr="00F769D1">
        <w:rPr>
          <w:rFonts w:ascii="Trebuchet MS" w:eastAsia="Calibri" w:hAnsi="Trebuchet MS" w:cs="Times New Roman"/>
          <w:b/>
        </w:rPr>
        <w:t>Strategia Națională privind Incluziunea Socială și Reducerea Sărăciei pentru perioada 2015-2020</w:t>
      </w:r>
    </w:p>
    <w:p w:rsidR="00FA0F3A" w:rsidRPr="00F769D1" w:rsidRDefault="00FA0F3A" w:rsidP="00FA0F3A">
      <w:pPr>
        <w:widowControl w:val="0"/>
        <w:spacing w:before="120" w:after="120" w:line="240" w:lineRule="auto"/>
        <w:ind w:right="95"/>
        <w:jc w:val="both"/>
        <w:rPr>
          <w:rFonts w:ascii="Trebuchet MS" w:eastAsia="Calibri" w:hAnsi="Trebuchet MS" w:cs="Times New Roman"/>
        </w:rPr>
      </w:pPr>
      <w:r w:rsidRPr="00F769D1">
        <w:rPr>
          <w:rFonts w:ascii="Trebuchet MS" w:eastAsia="Calibri" w:hAnsi="Trebuchet MS" w:cs="Times New Roman"/>
        </w:rPr>
        <w:t>http://www.mmuncii.ro/j33/images/Documente/Familie/2016/StrategyVol1RO_web.pdf</w:t>
      </w:r>
    </w:p>
    <w:p w:rsidR="00FA0F3A" w:rsidRPr="00F769D1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</w:rPr>
      </w:pPr>
      <w:r w:rsidRPr="00F769D1">
        <w:rPr>
          <w:rFonts w:ascii="Trebuchet MS" w:eastAsia="Calibri" w:hAnsi="Trebuchet MS" w:cs="Times New Roman"/>
          <w:b/>
        </w:rPr>
        <w:t>Strategia Națională pentru Ocuparea Forței de Muncă (SNOFM) 2014-2020</w:t>
      </w:r>
    </w:p>
    <w:p w:rsidR="00FA0F3A" w:rsidRPr="00F769D1" w:rsidRDefault="0031531A" w:rsidP="00FA0F3A">
      <w:pPr>
        <w:spacing w:before="120" w:after="120" w:line="240" w:lineRule="auto"/>
        <w:jc w:val="both"/>
        <w:rPr>
          <w:rFonts w:ascii="Trebuchet MS" w:eastAsia="Calibri" w:hAnsi="Trebuchet MS" w:cs="Times New Roman"/>
        </w:rPr>
      </w:pPr>
      <w:hyperlink r:id="rId11" w:history="1">
        <w:r w:rsidR="00FA0F3A" w:rsidRPr="00F769D1">
          <w:rPr>
            <w:rFonts w:ascii="Trebuchet MS" w:eastAsia="Calibri" w:hAnsi="Trebuchet MS" w:cs="Times New Roman"/>
          </w:rPr>
          <w:t>http://www.mmuncii.ro/j33/images/Documente/Munca/2014-DOES/2014-01-31_Anexa1_Strategia_de_Ocupare.pdf</w:t>
        </w:r>
      </w:hyperlink>
      <w:r w:rsidR="00FA0F3A" w:rsidRPr="00F769D1">
        <w:rPr>
          <w:rFonts w:ascii="Trebuchet MS" w:eastAsia="Calibri" w:hAnsi="Trebuchet MS" w:cs="Times New Roman"/>
        </w:rPr>
        <w:t xml:space="preserve"> </w:t>
      </w:r>
    </w:p>
    <w:p w:rsidR="00FA0F3A" w:rsidRPr="00F769D1" w:rsidRDefault="00FA0F3A" w:rsidP="00FA0F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</w:rPr>
      </w:pPr>
    </w:p>
    <w:p w:rsidR="00B83290" w:rsidRPr="00F769D1" w:rsidRDefault="00FA0F3A" w:rsidP="00FA0F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lang w:eastAsia="ar-SA"/>
        </w:rPr>
      </w:pPr>
      <w:r w:rsidRPr="00F769D1">
        <w:rPr>
          <w:rFonts w:ascii="Trebuchet MS" w:hAnsi="Trebuchet MS"/>
          <w:b/>
        </w:rPr>
        <w:t>Cadrul legal aplicabil</w:t>
      </w:r>
    </w:p>
    <w:p w:rsidR="00FA0D6D" w:rsidRDefault="00FA0D6D" w:rsidP="00FA0D6D">
      <w:pPr>
        <w:numPr>
          <w:ilvl w:val="0"/>
          <w:numId w:val="1"/>
        </w:numPr>
        <w:spacing w:before="60" w:after="60" w:line="240" w:lineRule="auto"/>
        <w:jc w:val="both"/>
        <w:rPr>
          <w:rFonts w:ascii="Trebuchet MS" w:eastAsia="Calibri" w:hAnsi="Trebuchet MS" w:cs="Calibri"/>
        </w:rPr>
      </w:pPr>
      <w:r w:rsidRPr="001C23A5">
        <w:rPr>
          <w:rFonts w:ascii="Trebuchet MS" w:eastAsia="Calibri" w:hAnsi="Trebuchet MS" w:cs="Calibri"/>
          <w:b/>
        </w:rPr>
        <w:t>Legea nr. 76/2002</w:t>
      </w:r>
      <w:r w:rsidRPr="00E1496B">
        <w:rPr>
          <w:rFonts w:ascii="Trebuchet MS" w:eastAsia="Calibri" w:hAnsi="Trebuchet MS" w:cs="Calibri"/>
        </w:rPr>
        <w:t xml:space="preserve"> privind sistemul asigurărilor pentru șomaj </w:t>
      </w:r>
      <w:proofErr w:type="spellStart"/>
      <w:r w:rsidRPr="00E1496B">
        <w:rPr>
          <w:rFonts w:ascii="Trebuchet MS" w:eastAsia="Calibri" w:hAnsi="Trebuchet MS" w:cs="Calibri"/>
        </w:rPr>
        <w:t>şi</w:t>
      </w:r>
      <w:proofErr w:type="spellEnd"/>
      <w:r w:rsidRPr="00E1496B">
        <w:rPr>
          <w:rFonts w:ascii="Trebuchet MS" w:eastAsia="Calibri" w:hAnsi="Trebuchet MS" w:cs="Calibri"/>
        </w:rPr>
        <w:t xml:space="preserve"> stimularea ocupării forței de muncă, cu modificările și completările ulterioare, inclusiv legislația subsecventă</w:t>
      </w:r>
    </w:p>
    <w:p w:rsidR="00AC6957" w:rsidRPr="00F769D1" w:rsidRDefault="00AC6957" w:rsidP="00AC6957">
      <w:pPr>
        <w:numPr>
          <w:ilvl w:val="0"/>
          <w:numId w:val="1"/>
        </w:numPr>
        <w:spacing w:before="60" w:after="60" w:line="240" w:lineRule="auto"/>
        <w:jc w:val="both"/>
        <w:rPr>
          <w:rFonts w:ascii="Trebuchet MS" w:eastAsia="Calibri" w:hAnsi="Trebuchet MS" w:cs="Calibri"/>
        </w:rPr>
      </w:pPr>
      <w:r w:rsidRPr="00FA0D6D">
        <w:rPr>
          <w:rFonts w:ascii="Trebuchet MS" w:eastAsia="Calibri" w:hAnsi="Trebuchet MS" w:cs="Calibri"/>
          <w:b/>
        </w:rPr>
        <w:t>OG nr. 129/2000</w:t>
      </w:r>
      <w:r w:rsidRPr="00F769D1">
        <w:rPr>
          <w:rFonts w:ascii="Trebuchet MS" w:eastAsia="Calibri" w:hAnsi="Trebuchet MS" w:cs="Calibri"/>
        </w:rPr>
        <w:t xml:space="preserve">  (republicată) privind formarea profesională a adulților, inclusiv legislația subsecventă</w:t>
      </w:r>
    </w:p>
    <w:p w:rsidR="00AC6957" w:rsidRDefault="00AC6957" w:rsidP="00AC6957">
      <w:pPr>
        <w:numPr>
          <w:ilvl w:val="0"/>
          <w:numId w:val="1"/>
        </w:numPr>
        <w:spacing w:before="60" w:after="60" w:line="240" w:lineRule="auto"/>
        <w:jc w:val="both"/>
        <w:rPr>
          <w:rFonts w:ascii="Trebuchet MS" w:eastAsia="Calibri" w:hAnsi="Trebuchet MS" w:cs="Calibri"/>
        </w:rPr>
      </w:pPr>
      <w:r w:rsidRPr="00FA0D6D">
        <w:rPr>
          <w:rFonts w:ascii="Trebuchet MS" w:eastAsia="Calibri" w:hAnsi="Trebuchet MS" w:cs="Calibri"/>
          <w:b/>
        </w:rPr>
        <w:t>HG nr. 918/2013</w:t>
      </w:r>
      <w:r w:rsidRPr="00F769D1">
        <w:rPr>
          <w:rFonts w:ascii="Trebuchet MS" w:eastAsia="Calibri" w:hAnsi="Trebuchet MS" w:cs="Calibri"/>
        </w:rPr>
        <w:t xml:space="preserve"> privind </w:t>
      </w:r>
      <w:r w:rsidR="00724940" w:rsidRPr="00F769D1">
        <w:rPr>
          <w:rFonts w:ascii="Trebuchet MS" w:eastAsia="Calibri" w:hAnsi="Trebuchet MS" w:cs="Calibri"/>
        </w:rPr>
        <w:t xml:space="preserve">aprobarea </w:t>
      </w:r>
      <w:r w:rsidRPr="00F769D1">
        <w:rPr>
          <w:rFonts w:ascii="Trebuchet MS" w:eastAsia="Calibri" w:hAnsi="Trebuchet MS" w:cs="Calibri"/>
        </w:rPr>
        <w:t>Cadrul</w:t>
      </w:r>
      <w:r w:rsidR="00724940" w:rsidRPr="00F769D1">
        <w:rPr>
          <w:rFonts w:ascii="Trebuchet MS" w:eastAsia="Calibri" w:hAnsi="Trebuchet MS" w:cs="Calibri"/>
        </w:rPr>
        <w:t>ui</w:t>
      </w:r>
      <w:r w:rsidRPr="00F769D1">
        <w:rPr>
          <w:rFonts w:ascii="Trebuchet MS" w:eastAsia="Calibri" w:hAnsi="Trebuchet MS" w:cs="Calibri"/>
        </w:rPr>
        <w:t xml:space="preserve"> național al calificărilor, cu modificările și completările ulterioare</w:t>
      </w:r>
    </w:p>
    <w:p w:rsidR="00FA0D6D" w:rsidRDefault="00FA0D6D" w:rsidP="00FA0D6D">
      <w:pPr>
        <w:numPr>
          <w:ilvl w:val="0"/>
          <w:numId w:val="1"/>
        </w:numPr>
        <w:jc w:val="both"/>
        <w:rPr>
          <w:rFonts w:ascii="Trebuchet MS" w:hAnsi="Trebuchet MS" w:cs="Arial"/>
        </w:rPr>
      </w:pPr>
      <w:r w:rsidRPr="00A87C09">
        <w:rPr>
          <w:rFonts w:ascii="Trebuchet MS" w:hAnsi="Trebuchet MS"/>
          <w:b/>
        </w:rPr>
        <w:t>Hotărârea Guvernului nr. 418/2015</w:t>
      </w:r>
      <w:r w:rsidRPr="00A87C09">
        <w:rPr>
          <w:rFonts w:ascii="Trebuchet MS" w:hAnsi="Trebuchet MS"/>
        </w:rPr>
        <w:t xml:space="preserve"> privind aprobarea </w:t>
      </w:r>
      <w:hyperlink r:id="rId12" w:history="1">
        <w:r w:rsidRPr="00A87C09">
          <w:rPr>
            <w:rStyle w:val="Hyperlink"/>
            <w:rFonts w:ascii="Trebuchet MS" w:hAnsi="Trebuchet MS"/>
            <w:color w:val="auto"/>
            <w:u w:val="none"/>
          </w:rPr>
          <w:t>Strategiei de Învățare pe tot Parcursul Vieții 2015-2020</w:t>
        </w:r>
      </w:hyperlink>
    </w:p>
    <w:p w:rsidR="00FA0D6D" w:rsidRDefault="00FA0D6D" w:rsidP="00FA0D6D">
      <w:pPr>
        <w:numPr>
          <w:ilvl w:val="0"/>
          <w:numId w:val="1"/>
        </w:numPr>
        <w:jc w:val="both"/>
        <w:rPr>
          <w:rFonts w:ascii="Trebuchet MS" w:hAnsi="Trebuchet MS" w:cs="Arial"/>
        </w:rPr>
      </w:pPr>
      <w:r w:rsidRPr="001C23A5">
        <w:rPr>
          <w:rFonts w:ascii="Trebuchet MS" w:eastAsia="Calibri" w:hAnsi="Trebuchet MS" w:cs="Calibri"/>
          <w:b/>
        </w:rPr>
        <w:t>HG nr. 377 din 18 aprilie 2002</w:t>
      </w:r>
      <w:r w:rsidRPr="001C23A5">
        <w:rPr>
          <w:rFonts w:ascii="Trebuchet MS" w:eastAsia="Calibri" w:hAnsi="Trebuchet MS" w:cs="Calibri"/>
        </w:rPr>
        <w:t xml:space="preserve"> pentru aprobarea Procedurilor privind accesul la măsurile pentru stimularea ocupării forței de muncă, modalitățile de finanțare si instrucțiunile de implementare a acestora</w:t>
      </w:r>
      <w:r w:rsidRPr="001C23A5">
        <w:rPr>
          <w:rFonts w:ascii="Trebuchet MS" w:eastAsia="Calibri" w:hAnsi="Trebuchet MS" w:cs="Times New Roman"/>
        </w:rPr>
        <w:t xml:space="preserve"> </w:t>
      </w:r>
    </w:p>
    <w:p w:rsidR="00FA0D6D" w:rsidRDefault="00FA0D6D" w:rsidP="00FA0D6D">
      <w:pPr>
        <w:numPr>
          <w:ilvl w:val="0"/>
          <w:numId w:val="1"/>
        </w:numPr>
        <w:jc w:val="both"/>
        <w:rPr>
          <w:rFonts w:ascii="Trebuchet MS" w:hAnsi="Trebuchet MS" w:cs="Arial"/>
        </w:rPr>
      </w:pPr>
      <w:r w:rsidRPr="001C23A5">
        <w:rPr>
          <w:rFonts w:ascii="Trebuchet MS" w:eastAsia="Calibri" w:hAnsi="Trebuchet MS" w:cs="Times New Roman"/>
          <w:b/>
        </w:rPr>
        <w:lastRenderedPageBreak/>
        <w:t>Legea nr. 219/2015</w:t>
      </w:r>
      <w:r w:rsidRPr="001C23A5">
        <w:rPr>
          <w:rFonts w:ascii="Trebuchet MS" w:eastAsia="Calibri" w:hAnsi="Trebuchet MS" w:cs="Times New Roman"/>
        </w:rPr>
        <w:t xml:space="preserve"> privind economia socială</w:t>
      </w:r>
      <w:r>
        <w:rPr>
          <w:rFonts w:ascii="Trebuchet MS" w:eastAsia="Calibri" w:hAnsi="Trebuchet MS" w:cs="Times New Roman"/>
        </w:rPr>
        <w:t xml:space="preserve"> </w:t>
      </w:r>
      <w:r w:rsidRPr="001C23A5">
        <w:rPr>
          <w:rFonts w:ascii="Trebuchet MS" w:eastAsia="Calibri" w:hAnsi="Trebuchet MS" w:cs="Calibri"/>
        </w:rPr>
        <w:t>cu modificările și completările ulterioare</w:t>
      </w:r>
      <w:r w:rsidRPr="001C23A5">
        <w:rPr>
          <w:rFonts w:ascii="Trebuchet MS" w:eastAsia="Calibri" w:hAnsi="Trebuchet MS" w:cs="Times New Roman"/>
        </w:rPr>
        <w:t>;</w:t>
      </w:r>
    </w:p>
    <w:p w:rsidR="00B83290" w:rsidRPr="00F769D1" w:rsidRDefault="00B83290" w:rsidP="00FA0D6D">
      <w:pPr>
        <w:spacing w:before="120" w:after="120" w:line="240" w:lineRule="auto"/>
        <w:ind w:left="644"/>
        <w:jc w:val="both"/>
        <w:rPr>
          <w:rFonts w:ascii="Trebuchet MS" w:hAnsi="Trebuchet MS"/>
        </w:rPr>
      </w:pPr>
      <w:bookmarkStart w:id="2" w:name="_GoBack"/>
      <w:bookmarkEnd w:id="2"/>
    </w:p>
    <w:sectPr w:rsidR="00B83290" w:rsidRPr="00F769D1" w:rsidSect="00054237">
      <w:footerReference w:type="default" r:id="rId13"/>
      <w:pgSz w:w="11906" w:h="16838"/>
      <w:pgMar w:top="1417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31A" w:rsidRDefault="0031531A" w:rsidP="00B83290">
      <w:pPr>
        <w:spacing w:after="0" w:line="240" w:lineRule="auto"/>
      </w:pPr>
      <w:r>
        <w:separator/>
      </w:r>
    </w:p>
  </w:endnote>
  <w:endnote w:type="continuationSeparator" w:id="0">
    <w:p w:rsidR="0031531A" w:rsidRDefault="0031531A" w:rsidP="00B8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0759868"/>
      <w:docPartObj>
        <w:docPartGallery w:val="Page Numbers (Bottom of Page)"/>
        <w:docPartUnique/>
      </w:docPartObj>
    </w:sdtPr>
    <w:sdtEndPr>
      <w:rPr>
        <w:b/>
        <w:color w:val="17365D" w:themeColor="text2" w:themeShade="BF"/>
      </w:rPr>
    </w:sdtEndPr>
    <w:sdtContent>
      <w:p w:rsidR="00934E80" w:rsidRPr="00934E80" w:rsidRDefault="00934E80" w:rsidP="00934E80">
        <w:pPr>
          <w:pStyle w:val="Subsol"/>
          <w:spacing w:before="120" w:after="120"/>
          <w:jc w:val="right"/>
          <w:rPr>
            <w:b/>
            <w:color w:val="17365D" w:themeColor="text2" w:themeShade="BF"/>
          </w:rPr>
        </w:pPr>
        <w:r w:rsidRPr="00934E80">
          <w:rPr>
            <w:b/>
            <w:color w:val="17365D" w:themeColor="text2" w:themeShade="BF"/>
          </w:rPr>
          <w:fldChar w:fldCharType="begin"/>
        </w:r>
        <w:r w:rsidRPr="00934E80">
          <w:rPr>
            <w:b/>
            <w:color w:val="17365D" w:themeColor="text2" w:themeShade="BF"/>
          </w:rPr>
          <w:instrText>PAGE   \* MERGEFORMAT</w:instrText>
        </w:r>
        <w:r w:rsidRPr="00934E80">
          <w:rPr>
            <w:b/>
            <w:color w:val="17365D" w:themeColor="text2" w:themeShade="BF"/>
          </w:rPr>
          <w:fldChar w:fldCharType="separate"/>
        </w:r>
        <w:r w:rsidR="00FA0D6D">
          <w:rPr>
            <w:b/>
            <w:noProof/>
            <w:color w:val="17365D" w:themeColor="text2" w:themeShade="BF"/>
          </w:rPr>
          <w:t>1</w:t>
        </w:r>
        <w:r w:rsidRPr="00934E80">
          <w:rPr>
            <w:b/>
            <w:color w:val="17365D" w:themeColor="text2" w:themeShade="BF"/>
          </w:rPr>
          <w:fldChar w:fldCharType="end"/>
        </w:r>
      </w:p>
    </w:sdtContent>
  </w:sdt>
  <w:p w:rsidR="00B83290" w:rsidRDefault="00B83290" w:rsidP="00934E80">
    <w:pPr>
      <w:pStyle w:val="Subsol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31A" w:rsidRDefault="0031531A" w:rsidP="00B83290">
      <w:pPr>
        <w:spacing w:after="0" w:line="240" w:lineRule="auto"/>
      </w:pPr>
      <w:r>
        <w:separator/>
      </w:r>
    </w:p>
  </w:footnote>
  <w:footnote w:type="continuationSeparator" w:id="0">
    <w:p w:rsidR="0031531A" w:rsidRDefault="0031531A" w:rsidP="00B83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24F33"/>
    <w:multiLevelType w:val="hybridMultilevel"/>
    <w:tmpl w:val="16A89172"/>
    <w:lvl w:ilvl="0" w:tplc="18B68738">
      <w:start w:val="1"/>
      <w:numFmt w:val="bullet"/>
      <w:lvlText w:val=""/>
      <w:lvlJc w:val="left"/>
      <w:pPr>
        <w:ind w:left="644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D479EC"/>
    <w:multiLevelType w:val="hybridMultilevel"/>
    <w:tmpl w:val="4F8C27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386C09"/>
    <w:multiLevelType w:val="hybridMultilevel"/>
    <w:tmpl w:val="A92C8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290"/>
    <w:rsid w:val="0001111B"/>
    <w:rsid w:val="0003326A"/>
    <w:rsid w:val="00054237"/>
    <w:rsid w:val="001005BA"/>
    <w:rsid w:val="001115B4"/>
    <w:rsid w:val="001B6D11"/>
    <w:rsid w:val="002C3357"/>
    <w:rsid w:val="0031531A"/>
    <w:rsid w:val="00335787"/>
    <w:rsid w:val="00346A4E"/>
    <w:rsid w:val="003B251C"/>
    <w:rsid w:val="003B3CE1"/>
    <w:rsid w:val="004246A0"/>
    <w:rsid w:val="004B3B47"/>
    <w:rsid w:val="004D3FE8"/>
    <w:rsid w:val="00531C31"/>
    <w:rsid w:val="0057480C"/>
    <w:rsid w:val="005D1412"/>
    <w:rsid w:val="005E0426"/>
    <w:rsid w:val="00632B66"/>
    <w:rsid w:val="006627FA"/>
    <w:rsid w:val="00676E9E"/>
    <w:rsid w:val="00695171"/>
    <w:rsid w:val="006C699B"/>
    <w:rsid w:val="006E5F18"/>
    <w:rsid w:val="00701AF1"/>
    <w:rsid w:val="00724940"/>
    <w:rsid w:val="00733597"/>
    <w:rsid w:val="007E59A4"/>
    <w:rsid w:val="00806E11"/>
    <w:rsid w:val="0087640C"/>
    <w:rsid w:val="008B7E5B"/>
    <w:rsid w:val="008C7545"/>
    <w:rsid w:val="008F27F9"/>
    <w:rsid w:val="00934E80"/>
    <w:rsid w:val="00A079C0"/>
    <w:rsid w:val="00A877BD"/>
    <w:rsid w:val="00AA1824"/>
    <w:rsid w:val="00AC6957"/>
    <w:rsid w:val="00B02358"/>
    <w:rsid w:val="00B2609B"/>
    <w:rsid w:val="00B76A8B"/>
    <w:rsid w:val="00B83290"/>
    <w:rsid w:val="00BA52E2"/>
    <w:rsid w:val="00BB1D13"/>
    <w:rsid w:val="00C1055A"/>
    <w:rsid w:val="00C179EF"/>
    <w:rsid w:val="00C378B9"/>
    <w:rsid w:val="00C409C4"/>
    <w:rsid w:val="00C42332"/>
    <w:rsid w:val="00C771FF"/>
    <w:rsid w:val="00CB5B54"/>
    <w:rsid w:val="00CB75F1"/>
    <w:rsid w:val="00CE609C"/>
    <w:rsid w:val="00CE6F37"/>
    <w:rsid w:val="00D34EFE"/>
    <w:rsid w:val="00D60850"/>
    <w:rsid w:val="00D71EDD"/>
    <w:rsid w:val="00DA2EFC"/>
    <w:rsid w:val="00DA4B4C"/>
    <w:rsid w:val="00E02972"/>
    <w:rsid w:val="00E27211"/>
    <w:rsid w:val="00E45EC3"/>
    <w:rsid w:val="00E51C42"/>
    <w:rsid w:val="00E634F7"/>
    <w:rsid w:val="00E91446"/>
    <w:rsid w:val="00EF786B"/>
    <w:rsid w:val="00F05FFC"/>
    <w:rsid w:val="00F47C60"/>
    <w:rsid w:val="00F769D1"/>
    <w:rsid w:val="00FA0D6D"/>
    <w:rsid w:val="00FA0F3A"/>
    <w:rsid w:val="00FC1022"/>
    <w:rsid w:val="00FC21CE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6458AC-125C-44F9-A7B5-8C52D924A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Titlu1">
    <w:name w:val="heading 1"/>
    <w:basedOn w:val="Normal"/>
    <w:next w:val="Normal"/>
    <w:link w:val="Titlu1Caracter"/>
    <w:uiPriority w:val="9"/>
    <w:qFormat/>
    <w:rsid w:val="00B83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A0F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basedOn w:val="Normal"/>
    <w:uiPriority w:val="34"/>
    <w:qFormat/>
    <w:rsid w:val="0087640C"/>
    <w:pPr>
      <w:ind w:left="720"/>
      <w:contextualSpacing/>
    </w:pPr>
    <w:rPr>
      <w:rFonts w:cs="Times New Roman"/>
    </w:rPr>
  </w:style>
  <w:style w:type="paragraph" w:styleId="Antet">
    <w:name w:val="header"/>
    <w:basedOn w:val="Normal"/>
    <w:link w:val="AntetCaracter"/>
    <w:uiPriority w:val="99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83290"/>
  </w:style>
  <w:style w:type="paragraph" w:styleId="Subsol">
    <w:name w:val="footer"/>
    <w:basedOn w:val="Normal"/>
    <w:link w:val="SubsolCaracter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rsid w:val="00B83290"/>
  </w:style>
  <w:style w:type="character" w:customStyle="1" w:styleId="Titlu1Caracter">
    <w:name w:val="Titlu 1 Caracter"/>
    <w:basedOn w:val="Fontdeparagrafimplicit"/>
    <w:link w:val="Titlu1"/>
    <w:uiPriority w:val="9"/>
    <w:rsid w:val="00B832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C6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C6957"/>
    <w:rPr>
      <w:rFonts w:ascii="Tahoma" w:hAnsi="Tahoma" w:cs="Tahoma"/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A079C0"/>
    <w:pPr>
      <w:spacing w:line="240" w:lineRule="auto"/>
    </w:pPr>
    <w:rPr>
      <w:rFonts w:eastAsiaTheme="minorEastAsia"/>
      <w:sz w:val="20"/>
      <w:szCs w:val="20"/>
      <w:lang w:val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A079C0"/>
    <w:rPr>
      <w:rFonts w:eastAsiaTheme="minorEastAsia"/>
      <w:sz w:val="20"/>
      <w:szCs w:val="20"/>
      <w:lang w:val="en-US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A0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Fontdeparagrafimplicit"/>
    <w:uiPriority w:val="99"/>
    <w:semiHidden/>
    <w:unhideWhenUsed/>
    <w:rsid w:val="00FA0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uri-ue.ro/res/filepicker_users/cd25a597fd-62/2014-2020/acord-parteneriat/Acord_de_Parteneriat_2014-2020_RO_2014RO16M8PA001_1_2_ro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du.ro/sites/default/files/_fi%C8%99iere/Minister/2016/strategii/Strategie%20LLL%20(1)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muncii.ro/j33/images/Documente/Munca/2014-DOES/2014-01-31_Anexa1_Strategia_de_Ocupare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c.europa.eu/europe2020/pdf/csr2014/nrp2014_romania_ro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europe2020/making-it-happen/country-specific-recommendations/index_en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A5058-001A-4728-9F18-8548D11CB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Olivia Rusandu</cp:lastModifiedBy>
  <cp:revision>8</cp:revision>
  <cp:lastPrinted>2017-04-10T12:28:00Z</cp:lastPrinted>
  <dcterms:created xsi:type="dcterms:W3CDTF">2017-06-13T09:18:00Z</dcterms:created>
  <dcterms:modified xsi:type="dcterms:W3CDTF">2017-07-03T10:35:00Z</dcterms:modified>
</cp:coreProperties>
</file>